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907790" cy="23107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07790" cy="231076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04">
      <w:pPr>
        <w:pStyle w:val="Heading1"/>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APLA</w:t>
      </w:r>
    </w:p>
    <w:p w:rsidR="00000000" w:rsidDel="00000000" w:rsidP="00000000" w:rsidRDefault="00000000" w:rsidRPr="00000000" w14:paraId="00000005">
      <w:pPr>
        <w:pStyle w:val="Heading1"/>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Past-President</w:t>
      </w:r>
    </w:p>
    <w:p w:rsidR="00000000" w:rsidDel="00000000" w:rsidP="00000000" w:rsidRDefault="00000000" w:rsidRPr="00000000" w14:paraId="00000006">
      <w:pPr>
        <w:pStyle w:val="Heading1"/>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60"/>
          <w:szCs w:val="60"/>
          <w:rtl w:val="0"/>
        </w:rPr>
        <w:t xml:space="preserve"> Orientation Handbook</w:t>
      </w:r>
      <w:r w:rsidDel="00000000" w:rsidR="00000000" w:rsidRPr="00000000">
        <w:rPr>
          <w:rFonts w:ascii="Times New Roman" w:cs="Times New Roman" w:eastAsia="Times New Roman" w:hAnsi="Times New Roman"/>
          <w:b w:val="1"/>
          <w:sz w:val="48"/>
          <w:szCs w:val="48"/>
          <w:rtl w:val="0"/>
        </w:rPr>
        <w:t xml:space="preserve">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2"/>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OBJECTIVES OF THE ASSOCIATION</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legal objectives of the Association are outlined in the "Memorandum of Association" as follows:</w:t>
      </w:r>
    </w:p>
    <w:p w:rsidR="00000000" w:rsidDel="00000000" w:rsidP="00000000" w:rsidRDefault="00000000" w:rsidRPr="00000000" w14:paraId="0000000A">
      <w:pPr>
        <w:numPr>
          <w:ilvl w:val="0"/>
          <w:numId w:val="14"/>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promote library and information service throughout the Provinces of New Brunswick, Nova Scotia, Prince Edward Island and Newfoundland and Labrador;</w:t>
      </w:r>
    </w:p>
    <w:p w:rsidR="00000000" w:rsidDel="00000000" w:rsidP="00000000" w:rsidRDefault="00000000" w:rsidRPr="00000000" w14:paraId="0000000B">
      <w:pPr>
        <w:numPr>
          <w:ilvl w:val="0"/>
          <w:numId w:val="14"/>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serve the interests of all who work in the region's libraries and to serve as a focal point for all those who are interested in library and information services in the Atlantic Provinces;</w:t>
      </w:r>
    </w:p>
    <w:p w:rsidR="00000000" w:rsidDel="00000000" w:rsidP="00000000" w:rsidRDefault="00000000" w:rsidRPr="00000000" w14:paraId="0000000C">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cooperate with library associations and other organizations on matters of mutual concern.</w:t>
      </w:r>
    </w:p>
    <w:p w:rsidR="00000000" w:rsidDel="00000000" w:rsidP="00000000" w:rsidRDefault="00000000" w:rsidRPr="00000000" w14:paraId="0000000D">
      <w:pPr>
        <w:pStyle w:val="Heading2"/>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pStyle w:val="Heading2"/>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MISSION STATEMENT AND STRATEGIC GOALS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mission statement and strategic goals were adopted at the 10 May 1992 OGM (item 3) in Halifax (NS). The goals are numbered for reference only, and the order does not indicate priority.</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Mission Statement</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Atlantic Provinces Library Association represents, promotes, and supports the interests and concerns of the library community in the Atlantic Provinces.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Strategic Goal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Regional Voice Role</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structure and position APLA so that the Association can effectively serve its mandate as a regional voice.</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2: Communication</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improve internal and external communications.</w:t>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3: Value of Libraries</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promote the value and worth of the library and its workers.</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4: Interest Groups</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improve the effectiveness of the interest groups.</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5: Continuing Education</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develop an effective continuing education programme.</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2"/>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 OF THE PAST-PRESIDENT</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also:</w:t>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APLA Executive</w:t>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Nominations and Elections Committee</w:t>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Grow a Library Committee</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APLA Merit Award (Appendix C)</w:t>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Guidelines for Maintaining APLA Records (Appendix M)</w:t>
      </w:r>
    </w:p>
    <w:p w:rsidR="00000000" w:rsidDel="00000000" w:rsidP="00000000" w:rsidRDefault="00000000" w:rsidRPr="00000000" w14:paraId="00000024">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widowControl w:val="0"/>
        <w:numPr>
          <w:ilvl w:val="0"/>
          <w:numId w:val="6"/>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Serves, normally, as the convener of the Nominations and Elections Committee (Standing Order 5.04).</w:t>
      </w:r>
    </w:p>
    <w:p w:rsidR="00000000" w:rsidDel="00000000" w:rsidP="00000000" w:rsidRDefault="00000000" w:rsidRPr="00000000" w14:paraId="00000026">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widowControl w:val="0"/>
        <w:numPr>
          <w:ilvl w:val="0"/>
          <w:numId w:val="6"/>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responsible for organizing the procedure for selecting an APLA Merit Award winner, for presenting the award and for informing the recipient and the membership of the award benefits at the time of the presentation of the award (Standing Order 9.08).</w:t>
      </w:r>
    </w:p>
    <w:p w:rsidR="00000000" w:rsidDel="00000000" w:rsidP="00000000" w:rsidRDefault="00000000" w:rsidRPr="00000000" w14:paraId="00000028">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widowControl w:val="0"/>
        <w:numPr>
          <w:ilvl w:val="0"/>
          <w:numId w:val="6"/>
        </w:numPr>
        <w:tabs>
          <w:tab w:val="left" w:pos="3330"/>
        </w:tabs>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Presides at all Ordinary General Meetings when neither the President nor the Vice- President/President-Elect is present within fifteen minutes after the appointed time (Article 31).</w:t>
      </w:r>
    </w:p>
    <w:p w:rsidR="00000000" w:rsidDel="00000000" w:rsidP="00000000" w:rsidRDefault="00000000" w:rsidRPr="00000000" w14:paraId="0000002A">
      <w:pPr>
        <w:widowControl w:val="0"/>
        <w:tabs>
          <w:tab w:val="left" w:pos="333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widowControl w:val="0"/>
        <w:numPr>
          <w:ilvl w:val="0"/>
          <w:numId w:val="6"/>
        </w:numPr>
        <w:tabs>
          <w:tab w:val="left" w:pos="3330"/>
        </w:tabs>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Revises and updates the Procedures Manual and notes significant facts to update the APLA history found in the beginning of the manual.</w:t>
      </w:r>
    </w:p>
    <w:p w:rsidR="00000000" w:rsidDel="00000000" w:rsidP="00000000" w:rsidRDefault="00000000" w:rsidRPr="00000000" w14:paraId="0000002C">
      <w:pPr>
        <w:widowControl w:val="0"/>
        <w:tabs>
          <w:tab w:val="left" w:pos="333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widowControl w:val="0"/>
        <w:numPr>
          <w:ilvl w:val="0"/>
          <w:numId w:val="6"/>
        </w:numPr>
        <w:tabs>
          <w:tab w:val="left" w:pos="3330"/>
        </w:tabs>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Updates the Standing Orders.</w:t>
      </w:r>
    </w:p>
    <w:p w:rsidR="00000000" w:rsidDel="00000000" w:rsidP="00000000" w:rsidRDefault="00000000" w:rsidRPr="00000000" w14:paraId="0000002E">
      <w:pPr>
        <w:widowControl w:val="0"/>
        <w:tabs>
          <w:tab w:val="left" w:pos="333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widowControl w:val="0"/>
        <w:numPr>
          <w:ilvl w:val="0"/>
          <w:numId w:val="6"/>
        </w:numPr>
        <w:tabs>
          <w:tab w:val="left" w:pos="3330"/>
        </w:tabs>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responsible for overseeing the archives according to the </w:t>
      </w:r>
      <w:r w:rsidDel="00000000" w:rsidR="00000000" w:rsidRPr="00000000">
        <w:rPr>
          <w:rFonts w:ascii="Times New Roman" w:cs="Times New Roman" w:eastAsia="Times New Roman" w:hAnsi="Times New Roman"/>
          <w:i w:val="1"/>
          <w:rtl w:val="0"/>
        </w:rPr>
        <w:t xml:space="preserve">Guidelines for Maintaining APLA Records</w:t>
      </w:r>
      <w:r w:rsidDel="00000000" w:rsidR="00000000" w:rsidRPr="00000000">
        <w:rPr>
          <w:rFonts w:ascii="Times New Roman" w:cs="Times New Roman" w:eastAsia="Times New Roman" w:hAnsi="Times New Roman"/>
          <w:rtl w:val="0"/>
        </w:rPr>
        <w:t xml:space="preserve"> (see Appendix M).</w:t>
      </w:r>
    </w:p>
    <w:p w:rsidR="00000000" w:rsidDel="00000000" w:rsidP="00000000" w:rsidRDefault="00000000" w:rsidRPr="00000000" w14:paraId="00000030">
      <w:pPr>
        <w:widowControl w:val="0"/>
        <w:tabs>
          <w:tab w:val="left" w:pos="333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widowControl w:val="0"/>
        <w:numPr>
          <w:ilvl w:val="0"/>
          <w:numId w:val="6"/>
        </w:numPr>
        <w:tabs>
          <w:tab w:val="left" w:pos="3330"/>
        </w:tabs>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Convenes the Grow a Library Committee.</w:t>
      </w:r>
    </w:p>
    <w:p w:rsidR="00000000" w:rsidDel="00000000" w:rsidP="00000000" w:rsidRDefault="00000000" w:rsidRPr="00000000" w14:paraId="00000032">
      <w:pPr>
        <w:widowControl w:val="0"/>
        <w:tabs>
          <w:tab w:val="left" w:pos="333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widowControl w:val="0"/>
        <w:numPr>
          <w:ilvl w:val="0"/>
          <w:numId w:val="6"/>
        </w:numPr>
        <w:tabs>
          <w:tab w:val="left" w:pos="3330"/>
        </w:tabs>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Collaborates with the Vice-President/President-Elect in presenting orientation for new Executive and conveners.</w:t>
      </w:r>
    </w:p>
    <w:p w:rsidR="00000000" w:rsidDel="00000000" w:rsidP="00000000" w:rsidRDefault="00000000" w:rsidRPr="00000000" w14:paraId="00000034">
      <w:pPr>
        <w:widowControl w:val="0"/>
        <w:tabs>
          <w:tab w:val="left" w:pos="333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widowControl w:val="0"/>
        <w:numPr>
          <w:ilvl w:val="0"/>
          <w:numId w:val="6"/>
        </w:numPr>
        <w:tabs>
          <w:tab w:val="left" w:pos="3330"/>
        </w:tabs>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Serves as a face-to-face contact between the Executive and the membership. A good place for this contact is at the annual conference.</w:t>
      </w:r>
    </w:p>
    <w:p w:rsidR="00000000" w:rsidDel="00000000" w:rsidP="00000000" w:rsidRDefault="00000000" w:rsidRPr="00000000" w14:paraId="00000036">
      <w:pPr>
        <w:widowControl w:val="0"/>
        <w:tabs>
          <w:tab w:val="left" w:pos="333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3330"/>
        </w:tabs>
        <w:spacing w:after="200" w:before="0" w:line="276" w:lineRule="auto"/>
        <w:ind w:left="720" w:right="0" w:hanging="360"/>
        <w:jc w:val="left"/>
        <w:rPr>
          <w:rFonts w:ascii="Times New Roman" w:cs="Times New Roman" w:eastAsia="Times New Roman" w:hAnsi="Times New Roman"/>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Maintains and revises the APLA Past-President Handbook.</w:t>
      </w:r>
    </w:p>
    <w:p w:rsidR="00000000" w:rsidDel="00000000" w:rsidP="00000000" w:rsidRDefault="00000000" w:rsidRPr="00000000" w14:paraId="00000038">
      <w:pPr>
        <w:widowControl w:val="0"/>
        <w:spacing w:after="0" w:line="240" w:lineRule="auto"/>
        <w:rPr>
          <w:rFonts w:ascii="Times New Roman" w:cs="Times New Roman" w:eastAsia="Times New Roman" w:hAnsi="Times New Roman"/>
          <w:b w:val="1"/>
          <w:color w:val="9a3300"/>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2"/>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APLA EXECUTIVE: BACKGROUND AND MEETING PROCEDURES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Officers of the Association (Article 72) shall be:</w:t>
      </w:r>
    </w:p>
    <w:p w:rsidR="00000000" w:rsidDel="00000000" w:rsidP="00000000" w:rsidRDefault="00000000" w:rsidRPr="00000000" w14:paraId="0000003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D">
      <w:pPr>
        <w:widowControl w:val="0"/>
        <w:numPr>
          <w:ilvl w:val="0"/>
          <w:numId w:val="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President;</w:t>
      </w:r>
    </w:p>
    <w:p w:rsidR="00000000" w:rsidDel="00000000" w:rsidP="00000000" w:rsidRDefault="00000000" w:rsidRPr="00000000" w14:paraId="0000003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F">
      <w:pPr>
        <w:widowControl w:val="0"/>
        <w:numPr>
          <w:ilvl w:val="0"/>
          <w:numId w:val="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First Vice-President, who shall also be designated President-Elect;</w:t>
      </w:r>
    </w:p>
    <w:p w:rsidR="00000000" w:rsidDel="00000000" w:rsidP="00000000" w:rsidRDefault="00000000" w:rsidRPr="00000000" w14:paraId="0000004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1">
      <w:pPr>
        <w:widowControl w:val="0"/>
        <w:numPr>
          <w:ilvl w:val="0"/>
          <w:numId w:val="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Treasurer residing in the Province of Nova Scotia;</w:t>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3">
      <w:pPr>
        <w:widowControl w:val="0"/>
        <w:numPr>
          <w:ilvl w:val="0"/>
          <w:numId w:val="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Vice-President from each of the Atlantic Provinces with principal responsibilities to assure the Association is fully aware of the needs and issues in librarianship in their respective provinces;</w:t>
      </w:r>
    </w:p>
    <w:p w:rsidR="00000000" w:rsidDel="00000000" w:rsidP="00000000" w:rsidRDefault="00000000" w:rsidRPr="00000000" w14:paraId="0000004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5">
      <w:pPr>
        <w:widowControl w:val="0"/>
        <w:numPr>
          <w:ilvl w:val="0"/>
          <w:numId w:val="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Vice-President with principal responsibilities of recruitment and retention of members;</w:t>
      </w:r>
    </w:p>
    <w:p w:rsidR="00000000" w:rsidDel="00000000" w:rsidP="00000000" w:rsidRDefault="00000000" w:rsidRPr="00000000" w14:paraId="0000004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7">
      <w:pPr>
        <w:widowControl w:val="0"/>
        <w:numPr>
          <w:ilvl w:val="0"/>
          <w:numId w:val="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immediate Past-President.</w:t>
      </w:r>
    </w:p>
    <w:p w:rsidR="00000000" w:rsidDel="00000000" w:rsidP="00000000" w:rsidRDefault="00000000" w:rsidRPr="00000000" w14:paraId="0000004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9">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of the above shall be elected normally by a ballot of the Association and, with the Secretary and Co-Editors of the APLA Bulletin, shall constitute the Executive of the Association. The Secretary and Co-Editors of the APLA Bulletin shall be non-voting members of the Executive (Executive meeting, 26 January 1992, item 13; Executive meeting, 31 January 1993, item 6.7). All officers must be members in good standing of the Association at the time they are nominated (Standing Order 5.04) and when they take office (Article 73 (1)). </w:t>
      </w:r>
    </w:p>
    <w:p w:rsidR="00000000" w:rsidDel="00000000" w:rsidP="00000000" w:rsidRDefault="00000000" w:rsidRPr="00000000" w14:paraId="0000004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B">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Secretary and the Editor of the APLA Bulletin must be members in good standing of the Association when they assume their respective positions (Executive meeting, 31 January 1993, item 6.7).</w:t>
      </w:r>
    </w:p>
    <w:p w:rsidR="00000000" w:rsidDel="00000000" w:rsidP="00000000" w:rsidRDefault="00000000" w:rsidRPr="00000000" w14:paraId="0000004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D">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Duties and responsibilities:</w:t>
      </w:r>
      <w:r w:rsidDel="00000000" w:rsidR="00000000" w:rsidRPr="00000000">
        <w:rPr>
          <w:rtl w:val="0"/>
        </w:rPr>
      </w:r>
    </w:p>
    <w:p w:rsidR="00000000" w:rsidDel="00000000" w:rsidP="00000000" w:rsidRDefault="00000000" w:rsidRPr="00000000" w14:paraId="0000004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F">
      <w:pPr>
        <w:widowControl w:val="0"/>
        <w:numPr>
          <w:ilvl w:val="0"/>
          <w:numId w:val="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administer the affairs of the Association (Articles 81 and 82).</w:t>
      </w:r>
    </w:p>
    <w:p w:rsidR="00000000" w:rsidDel="00000000" w:rsidP="00000000" w:rsidRDefault="00000000" w:rsidRPr="00000000" w14:paraId="0000005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1">
      <w:pPr>
        <w:widowControl w:val="0"/>
        <w:numPr>
          <w:ilvl w:val="0"/>
          <w:numId w:val="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fill all vacancies in office pro tem. Persons so appointed shall serve until the next Ordinary General Meeting of the Association (Article 82 (q)). [Note: This article does not appear in the registered copy of the Articles of Association. However, it was approved at a Special Meeting, 6 July 1988. Correspondence between the Association and the Registrar of Joint Stock Companies had indicated that it was not important that the file on hand show all changes. Rather, the Registrar was interested only in major changes such as a change in the purpose of the organization or a change in its name (Executive meeting, 5 June 1996, item 6.5].</w:t>
      </w:r>
    </w:p>
    <w:p w:rsidR="00000000" w:rsidDel="00000000" w:rsidP="00000000" w:rsidRDefault="00000000" w:rsidRPr="00000000" w14:paraId="0000005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3">
      <w:pPr>
        <w:widowControl w:val="0"/>
        <w:numPr>
          <w:ilvl w:val="0"/>
          <w:numId w:val="4"/>
        </w:numPr>
        <w:spacing w:after="0" w:line="240" w:lineRule="auto"/>
        <w:ind w:left="720" w:hanging="360"/>
        <w:rPr>
          <w:rFonts w:ascii="Times New Roman" w:cs="Times New Roman" w:eastAsia="Times New Roman" w:hAnsi="Times New Roman"/>
          <w:color w:val="000000"/>
          <w:sz w:val="22"/>
          <w:szCs w:val="22"/>
        </w:rPr>
      </w:pPr>
      <w:bookmarkStart w:colFirst="0" w:colLast="0" w:name="_gjdgxs" w:id="0"/>
      <w:bookmarkEnd w:id="0"/>
      <w:r w:rsidDel="00000000" w:rsidR="00000000" w:rsidRPr="00000000">
        <w:rPr>
          <w:rFonts w:ascii="Times New Roman" w:cs="Times New Roman" w:eastAsia="Times New Roman" w:hAnsi="Times New Roman"/>
          <w:color w:val="000000"/>
          <w:sz w:val="22"/>
          <w:szCs w:val="22"/>
          <w:rtl w:val="0"/>
        </w:rPr>
        <w:t xml:space="preserve">To review and approve the budget as prepared by the Finance Committee. Any expenditure in excess of the budgeted amount shall require the approval of a majority of the Executive (Standing Order 3.02 and Standing Order 5.01).</w:t>
      </w:r>
    </w:p>
    <w:p w:rsidR="00000000" w:rsidDel="00000000" w:rsidP="00000000" w:rsidRDefault="00000000" w:rsidRPr="00000000" w14:paraId="0000005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5">
      <w:pPr>
        <w:widowControl w:val="0"/>
        <w:numPr>
          <w:ilvl w:val="0"/>
          <w:numId w:val="4"/>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keep the membership informed of the financial status of the Association, e.g. following Executive meetings (Standing Order 3.01).</w:t>
      </w:r>
    </w:p>
    <w:p w:rsidR="00000000" w:rsidDel="00000000" w:rsidP="00000000" w:rsidRDefault="00000000" w:rsidRPr="00000000" w14:paraId="00000056">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7">
      <w:pPr>
        <w:widowControl w:val="0"/>
        <w:numPr>
          <w:ilvl w:val="0"/>
          <w:numId w:val="4"/>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appoint a Committee on Nominations and Elections (Standing Order 5.04).</w:t>
      </w:r>
    </w:p>
    <w:p w:rsidR="00000000" w:rsidDel="00000000" w:rsidP="00000000" w:rsidRDefault="00000000" w:rsidRPr="00000000" w14:paraId="00000058">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9">
      <w:pPr>
        <w:spacing w:after="200"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act as the jury in the process of selecting the recipient of the APLA Merit Award (Executive meeting, 14 May 1976; Standing Order 9.08).</w:t>
      </w:r>
    </w:p>
    <w:p w:rsidR="00000000" w:rsidDel="00000000" w:rsidP="00000000" w:rsidRDefault="00000000" w:rsidRPr="00000000" w14:paraId="0000005A">
      <w:pPr>
        <w:widowControl w:val="0"/>
        <w:numPr>
          <w:ilvl w:val="0"/>
          <w:numId w:val="4"/>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examine the terms of reference of all committees, making sure that explicit terms of reference are made available to committee conveners and members (Standing Order 4.01).</w:t>
      </w:r>
    </w:p>
    <w:p w:rsidR="00000000" w:rsidDel="00000000" w:rsidP="00000000" w:rsidRDefault="00000000" w:rsidRPr="00000000" w14:paraId="0000005B">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C">
      <w:pPr>
        <w:widowControl w:val="0"/>
        <w:numPr>
          <w:ilvl w:val="0"/>
          <w:numId w:val="4"/>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take positive and appropriate action whenever instances of censorship which violate the CFLA-FCAB "Statement on Intellectual Freedom and Libraries" occur in the Atlantic Provinces (Standing Order 9.03).</w:t>
      </w:r>
    </w:p>
    <w:p w:rsidR="00000000" w:rsidDel="00000000" w:rsidP="00000000" w:rsidRDefault="00000000" w:rsidRPr="00000000" w14:paraId="0000005D">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E">
      <w:pPr>
        <w:widowControl w:val="0"/>
        <w:numPr>
          <w:ilvl w:val="0"/>
          <w:numId w:val="4"/>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amend standing orders (Article 82 (n)). When the Executive makes, varies or repeals any standing order under Article 82(n) of the Articles of Association, such action shall be communicated to the membership as soon as possible after the action; and shall be presented at the next Ordinary General Meeting for confirmation or rejection (Standing Order 1.09).</w:t>
      </w:r>
    </w:p>
    <w:p w:rsidR="00000000" w:rsidDel="00000000" w:rsidP="00000000" w:rsidRDefault="00000000" w:rsidRPr="00000000" w14:paraId="0000005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Quorum</w:t>
      </w:r>
      <w:r w:rsidDel="00000000" w:rsidR="00000000" w:rsidRPr="00000000">
        <w:rPr>
          <w:rtl w:val="0"/>
        </w:rPr>
      </w:r>
    </w:p>
    <w:p w:rsidR="00000000" w:rsidDel="00000000" w:rsidP="00000000" w:rsidRDefault="00000000" w:rsidRPr="00000000" w14:paraId="0000006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2">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may meet to conduct business and may regulate their business as they see fit. They may determine the quorum necessary for these meetings, but until otherwise determined two directors shall constitute a quorum (Article 55). At the February 26, 1989 meeting the Executive determined that a majority shall constitute a quorum of the Executive (Standing Order 1.03).</w:t>
      </w:r>
    </w:p>
    <w:p w:rsidR="00000000" w:rsidDel="00000000" w:rsidP="00000000" w:rsidRDefault="00000000" w:rsidRPr="00000000" w14:paraId="0000006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4">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Guidelines for Executive meeting expenses</w:t>
      </w:r>
      <w:r w:rsidDel="00000000" w:rsidR="00000000" w:rsidRPr="00000000">
        <w:rPr>
          <w:rtl w:val="0"/>
        </w:rPr>
      </w:r>
    </w:p>
    <w:p w:rsidR="00000000" w:rsidDel="00000000" w:rsidP="00000000" w:rsidRDefault="00000000" w:rsidRPr="00000000" w14:paraId="0000006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6">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following were approved by the Executive on 21 February 1987 and revised on 6 October</w:t>
      </w:r>
    </w:p>
    <w:p w:rsidR="00000000" w:rsidDel="00000000" w:rsidP="00000000" w:rsidRDefault="00000000" w:rsidRPr="00000000" w14:paraId="00000067">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1991 and again on 22 May 2003:</w:t>
      </w:r>
    </w:p>
    <w:p w:rsidR="00000000" w:rsidDel="00000000" w:rsidP="00000000" w:rsidRDefault="00000000" w:rsidRPr="00000000" w14:paraId="0000006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9">
      <w:pPr>
        <w:widowControl w:val="0"/>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who live outside the area in which the meeting is held will have the following expenses reimbursed:</w:t>
      </w:r>
    </w:p>
    <w:p w:rsidR="00000000" w:rsidDel="00000000" w:rsidP="00000000" w:rsidRDefault="00000000" w:rsidRPr="00000000" w14:paraId="0000006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B">
      <w:pPr>
        <w:widowControl w:val="0"/>
        <w:numPr>
          <w:ilvl w:val="1"/>
          <w:numId w:val="7"/>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transportation from home city to meeting location: members will not be reimbursed more than the economy fare and should use seat sales and special offers whenever possible. If personal vehicles are used, members will be reimbursed at $0.38/km;</w:t>
      </w:r>
    </w:p>
    <w:p w:rsidR="00000000" w:rsidDel="00000000" w:rsidP="00000000" w:rsidRDefault="00000000" w:rsidRPr="00000000" w14:paraId="0000006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D">
      <w:pPr>
        <w:widowControl w:val="0"/>
        <w:numPr>
          <w:ilvl w:val="1"/>
          <w:numId w:val="7"/>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ground transportation to and from airport in home city and meeting location: members will be reimbursed up to and not exceeding the cost of a bus trip or equivalent transportation to and from the airport;</w:t>
      </w:r>
    </w:p>
    <w:p w:rsidR="00000000" w:rsidDel="00000000" w:rsidP="00000000" w:rsidRDefault="00000000" w:rsidRPr="00000000" w14:paraId="0000006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F">
      <w:pPr>
        <w:widowControl w:val="0"/>
        <w:numPr>
          <w:ilvl w:val="1"/>
          <w:numId w:val="7"/>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night's accommodations: members will be reimbursed for one night's accommodation based on double occupancy at an economy hotel selected by the secretary or local arrangements representative;</w:t>
      </w:r>
    </w:p>
    <w:p w:rsidR="00000000" w:rsidDel="00000000" w:rsidP="00000000" w:rsidRDefault="00000000" w:rsidRPr="00000000" w14:paraId="0000007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2">
      <w:pPr>
        <w:widowControl w:val="0"/>
        <w:numPr>
          <w:ilvl w:val="1"/>
          <w:numId w:val="7"/>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meals for one day - members will be reimbursed for costs of three meals. Any meals which are concurrent with business meetings are covered under group expenses.</w:t>
      </w:r>
    </w:p>
    <w:p w:rsidR="00000000" w:rsidDel="00000000" w:rsidP="00000000" w:rsidRDefault="00000000" w:rsidRPr="00000000" w14:paraId="0000007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4">
      <w:pPr>
        <w:widowControl w:val="0"/>
        <w:tabs>
          <w:tab w:val="left" w:pos="310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Breakfast</w:t>
        <w:tab/>
        <w:t xml:space="preserve">$8.00</w:t>
      </w:r>
    </w:p>
    <w:p w:rsidR="00000000" w:rsidDel="00000000" w:rsidP="00000000" w:rsidRDefault="00000000" w:rsidRPr="00000000" w14:paraId="00000075">
      <w:pPr>
        <w:widowControl w:val="0"/>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Lunch</w:t>
        <w:tab/>
        <w:t xml:space="preserve">$10.00</w:t>
      </w:r>
    </w:p>
    <w:p w:rsidR="00000000" w:rsidDel="00000000" w:rsidP="00000000" w:rsidRDefault="00000000" w:rsidRPr="00000000" w14:paraId="00000076">
      <w:pPr>
        <w:widowControl w:val="0"/>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Dinner</w:t>
        <w:tab/>
        <w:t xml:space="preserve">$24.00</w:t>
      </w:r>
    </w:p>
    <w:p w:rsidR="00000000" w:rsidDel="00000000" w:rsidP="00000000" w:rsidRDefault="00000000" w:rsidRPr="00000000" w14:paraId="00000077">
      <w:pPr>
        <w:widowControl w:val="0"/>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8">
      <w:pPr>
        <w:widowControl w:val="0"/>
        <w:numPr>
          <w:ilvl w:val="0"/>
          <w:numId w:val="7"/>
        </w:numPr>
        <w:tabs>
          <w:tab w:val="left" w:pos="306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who reside within the meeting area will be covered under group expenses only.</w:t>
      </w:r>
    </w:p>
    <w:p w:rsidR="00000000" w:rsidDel="00000000" w:rsidP="00000000" w:rsidRDefault="00000000" w:rsidRPr="00000000" w14:paraId="00000079">
      <w:pPr>
        <w:widowControl w:val="0"/>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A">
      <w:pPr>
        <w:widowControl w:val="0"/>
        <w:numPr>
          <w:ilvl w:val="0"/>
          <w:numId w:val="7"/>
        </w:numPr>
        <w:tabs>
          <w:tab w:val="left" w:pos="306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Group expenses:</w:t>
      </w:r>
    </w:p>
    <w:p w:rsidR="00000000" w:rsidDel="00000000" w:rsidP="00000000" w:rsidRDefault="00000000" w:rsidRPr="00000000" w14:paraId="0000007B">
      <w:pPr>
        <w:widowControl w:val="0"/>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C">
      <w:pPr>
        <w:widowControl w:val="0"/>
        <w:numPr>
          <w:ilvl w:val="1"/>
          <w:numId w:val="7"/>
        </w:numPr>
        <w:tabs>
          <w:tab w:val="left" w:pos="306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lunches and dinners which are concurrent with business meetings will cost up to but will not exceed the combined cost of individual meals as in 1.d;</w:t>
      </w:r>
    </w:p>
    <w:p w:rsidR="00000000" w:rsidDel="00000000" w:rsidP="00000000" w:rsidRDefault="00000000" w:rsidRPr="00000000" w14:paraId="0000007D">
      <w:pPr>
        <w:widowControl w:val="0"/>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E">
      <w:pPr>
        <w:widowControl w:val="0"/>
        <w:numPr>
          <w:ilvl w:val="1"/>
          <w:numId w:val="7"/>
        </w:numPr>
        <w:tabs>
          <w:tab w:val="left" w:pos="306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meeting room will be selected based on the lowest available rate at that time.</w:t>
      </w:r>
    </w:p>
    <w:p w:rsidR="00000000" w:rsidDel="00000000" w:rsidP="00000000" w:rsidRDefault="00000000" w:rsidRPr="00000000" w14:paraId="0000007F">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0">
      <w:pPr>
        <w:widowControl w:val="0"/>
        <w:numPr>
          <w:ilvl w:val="0"/>
          <w:numId w:val="7"/>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General:</w:t>
      </w:r>
    </w:p>
    <w:p w:rsidR="00000000" w:rsidDel="00000000" w:rsidP="00000000" w:rsidRDefault="00000000" w:rsidRPr="00000000" w14:paraId="00000081">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2">
      <w:pPr>
        <w:widowControl w:val="0"/>
        <w:numPr>
          <w:ilvl w:val="1"/>
          <w:numId w:val="7"/>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In-person Executive meetings will occur on Saturdays or Sundays;</w:t>
      </w:r>
    </w:p>
    <w:p w:rsidR="00000000" w:rsidDel="00000000" w:rsidP="00000000" w:rsidRDefault="00000000" w:rsidRPr="00000000" w14:paraId="00000083">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4">
      <w:pPr>
        <w:widowControl w:val="0"/>
        <w:numPr>
          <w:ilvl w:val="1"/>
          <w:numId w:val="7"/>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meeting will be adjourned in sufficient time for all members to return home that day;</w:t>
      </w:r>
    </w:p>
    <w:p w:rsidR="00000000" w:rsidDel="00000000" w:rsidP="00000000" w:rsidRDefault="00000000" w:rsidRPr="00000000" w14:paraId="00000085">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6">
      <w:pPr>
        <w:widowControl w:val="0"/>
        <w:numPr>
          <w:ilvl w:val="1"/>
          <w:numId w:val="7"/>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extenuating circumstances will be considered on an individual basis in order that members not incur additional personal expenditures to attend meetings, e.g., additional nights' accommodations due to non-availability of reasonably direct transportation;</w:t>
      </w:r>
    </w:p>
    <w:p w:rsidR="00000000" w:rsidDel="00000000" w:rsidP="00000000" w:rsidRDefault="00000000" w:rsidRPr="00000000" w14:paraId="00000087">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8">
      <w:pPr>
        <w:widowControl w:val="0"/>
        <w:numPr>
          <w:ilvl w:val="1"/>
          <w:numId w:val="7"/>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may request travel advances.</w:t>
      </w:r>
    </w:p>
    <w:p w:rsidR="00000000" w:rsidDel="00000000" w:rsidP="00000000" w:rsidRDefault="00000000" w:rsidRPr="00000000" w14:paraId="0000008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A">
      <w:pPr>
        <w:widowControl w:val="0"/>
        <w:spacing w:after="0" w:line="240" w:lineRule="auto"/>
        <w:rPr>
          <w:rFonts w:ascii="Times New Roman" w:cs="Times New Roman" w:eastAsia="Times New Roman" w:hAnsi="Times New Roman"/>
          <w:b w:val="1"/>
          <w:color w:val="9a3300"/>
          <w:sz w:val="22"/>
          <w:szCs w:val="22"/>
        </w:rPr>
      </w:pPr>
      <w:r w:rsidDel="00000000" w:rsidR="00000000" w:rsidRPr="00000000">
        <w:rPr>
          <w:rtl w:val="0"/>
        </w:rPr>
      </w:r>
    </w:p>
    <w:p w:rsidR="00000000" w:rsidDel="00000000" w:rsidP="00000000" w:rsidRDefault="00000000" w:rsidRPr="00000000" w14:paraId="0000008B">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r w:rsidDel="00000000" w:rsidR="00000000" w:rsidRPr="00000000">
        <w:rPr>
          <w:rtl w:val="0"/>
        </w:rPr>
      </w:r>
    </w:p>
    <w:p w:rsidR="00000000" w:rsidDel="00000000" w:rsidP="00000000" w:rsidRDefault="00000000" w:rsidRPr="00000000" w14:paraId="0000008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D">
      <w:pPr>
        <w:widowControl w:val="0"/>
        <w:numPr>
          <w:ilvl w:val="0"/>
          <w:numId w:val="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reserves the right to suspend members with cause (Article 4).</w:t>
      </w:r>
    </w:p>
    <w:p w:rsidR="00000000" w:rsidDel="00000000" w:rsidP="00000000" w:rsidRDefault="00000000" w:rsidRPr="00000000" w14:paraId="0000008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F">
      <w:pPr>
        <w:widowControl w:val="0"/>
        <w:numPr>
          <w:ilvl w:val="0"/>
          <w:numId w:val="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Honourary life membership may be conferred at the discretion of the Executive. Members so chosen pay no dues, but retain full voting privileges (Article 10).</w:t>
      </w:r>
    </w:p>
    <w:p w:rsidR="00000000" w:rsidDel="00000000" w:rsidP="00000000" w:rsidRDefault="00000000" w:rsidRPr="00000000" w14:paraId="0000009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1">
      <w:pPr>
        <w:widowControl w:val="0"/>
        <w:numPr>
          <w:ilvl w:val="0"/>
          <w:numId w:val="9"/>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President may call at any time, and shall call upon the request of any two directors, a meeting of the Executive (Article 57).</w:t>
      </w:r>
    </w:p>
    <w:p w:rsidR="00000000" w:rsidDel="00000000" w:rsidP="00000000" w:rsidRDefault="00000000" w:rsidRPr="00000000" w14:paraId="00000092">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3">
      <w:pPr>
        <w:widowControl w:val="0"/>
        <w:numPr>
          <w:ilvl w:val="0"/>
          <w:numId w:val="9"/>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 of the Executive shall report to Executive meetings and to the Ordinary General Meeting as required by their Executive position or, where relevant, in their role as committee convener.</w:t>
      </w:r>
    </w:p>
    <w:p w:rsidR="00000000" w:rsidDel="00000000" w:rsidP="00000000" w:rsidRDefault="00000000" w:rsidRPr="00000000" w14:paraId="00000094">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5">
      <w:pPr>
        <w:widowControl w:val="0"/>
        <w:numPr>
          <w:ilvl w:val="0"/>
          <w:numId w:val="9"/>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member of the Executive shall have access to:</w:t>
      </w:r>
    </w:p>
    <w:p w:rsidR="00000000" w:rsidDel="00000000" w:rsidP="00000000" w:rsidRDefault="00000000" w:rsidRPr="00000000" w14:paraId="00000096">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7">
      <w:pPr>
        <w:widowControl w:val="0"/>
        <w:numPr>
          <w:ilvl w:val="1"/>
          <w:numId w:val="9"/>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Articles of Association, "Memorandum of Association", and the "Standing Orders";</w:t>
      </w:r>
    </w:p>
    <w:p w:rsidR="00000000" w:rsidDel="00000000" w:rsidP="00000000" w:rsidRDefault="00000000" w:rsidRPr="00000000" w14:paraId="00000098">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9">
      <w:pPr>
        <w:widowControl w:val="0"/>
        <w:numPr>
          <w:ilvl w:val="1"/>
          <w:numId w:val="9"/>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list of members of the Executive and Conveners of Committees;</w:t>
      </w:r>
    </w:p>
    <w:p w:rsidR="00000000" w:rsidDel="00000000" w:rsidP="00000000" w:rsidRDefault="00000000" w:rsidRPr="00000000" w14:paraId="0000009A">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B">
      <w:pPr>
        <w:widowControl w:val="0"/>
        <w:numPr>
          <w:ilvl w:val="1"/>
          <w:numId w:val="9"/>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minutes of the meetings of the Executive and the Ordinary General Meetings for the last three years;</w:t>
      </w:r>
    </w:p>
    <w:p w:rsidR="00000000" w:rsidDel="00000000" w:rsidP="00000000" w:rsidRDefault="00000000" w:rsidRPr="00000000" w14:paraId="0000009C">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D">
      <w:pPr>
        <w:widowControl w:val="0"/>
        <w:numPr>
          <w:ilvl w:val="1"/>
          <w:numId w:val="9"/>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copy of the APLA Procedures Manual.</w:t>
      </w:r>
    </w:p>
    <w:p w:rsidR="00000000" w:rsidDel="00000000" w:rsidP="00000000" w:rsidRDefault="00000000" w:rsidRPr="00000000" w14:paraId="0000009E">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F">
      <w:pPr>
        <w:widowControl w:val="0"/>
        <w:numPr>
          <w:ilvl w:val="0"/>
          <w:numId w:val="9"/>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member of the Executive shall follow the "Guidelines for Maintaining APLA Records" (Appendix M).</w:t>
      </w:r>
    </w:p>
    <w:p w:rsidR="00000000" w:rsidDel="00000000" w:rsidP="00000000" w:rsidRDefault="00000000" w:rsidRPr="00000000" w14:paraId="000000A0">
      <w:pPr>
        <w:widowControl w:val="0"/>
        <w:spacing w:after="0" w:before="3"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1">
      <w:pPr>
        <w:pStyle w:val="Heading2"/>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NOMINATIONS AND ELECTIONS COMMITTEE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0A3">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Guidelines for Committees and Interest Groups</w:t>
      </w:r>
      <w:r w:rsidDel="00000000" w:rsidR="00000000" w:rsidRPr="00000000">
        <w:rPr>
          <w:rtl w:val="0"/>
        </w:rPr>
      </w:r>
    </w:p>
    <w:p w:rsidR="00000000" w:rsidDel="00000000" w:rsidP="00000000" w:rsidRDefault="00000000" w:rsidRPr="00000000" w14:paraId="000000A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5">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Executive Committee</w:t>
      </w:r>
      <w:r w:rsidDel="00000000" w:rsidR="00000000" w:rsidRPr="00000000">
        <w:rPr>
          <w:rtl w:val="0"/>
        </w:rPr>
      </w:r>
    </w:p>
    <w:p w:rsidR="00000000" w:rsidDel="00000000" w:rsidP="00000000" w:rsidRDefault="00000000" w:rsidRPr="00000000" w14:paraId="000000A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7">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5.04):</w:t>
      </w:r>
    </w:p>
    <w:p w:rsidR="00000000" w:rsidDel="00000000" w:rsidP="00000000" w:rsidRDefault="00000000" w:rsidRPr="00000000" w14:paraId="000000A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9">
      <w:pPr>
        <w:widowControl w:val="0"/>
        <w:numPr>
          <w:ilvl w:val="0"/>
          <w:numId w:val="1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Prior to each Ordinary General Meeting of the Association, the Executive shall appoint a committee on nominations and elections of three members to assure that there are normally at least two candidates for each elective office. The convener shall normally be the immediate Past-President. No member of the committee shall be eligible for nomination.</w:t>
      </w:r>
    </w:p>
    <w:p w:rsidR="00000000" w:rsidDel="00000000" w:rsidP="00000000" w:rsidRDefault="00000000" w:rsidRPr="00000000" w14:paraId="000000A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B">
      <w:pPr>
        <w:widowControl w:val="0"/>
        <w:numPr>
          <w:ilvl w:val="0"/>
          <w:numId w:val="1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committee shall call for nominations for all vacancies in January of each year. Nominations shall close on the last day of February.</w:t>
      </w:r>
    </w:p>
    <w:p w:rsidR="00000000" w:rsidDel="00000000" w:rsidP="00000000" w:rsidRDefault="00000000" w:rsidRPr="00000000" w14:paraId="000000A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D">
      <w:pPr>
        <w:widowControl w:val="0"/>
        <w:numPr>
          <w:ilvl w:val="0"/>
          <w:numId w:val="1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Any member may nominate any other member for elective office. Every person nominated shall be a member in good standing of the Association and shall file a letter of acceptance with the secretary of the Association.</w:t>
      </w:r>
    </w:p>
    <w:p w:rsidR="00000000" w:rsidDel="00000000" w:rsidP="00000000" w:rsidRDefault="00000000" w:rsidRPr="00000000" w14:paraId="000000A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F">
      <w:pPr>
        <w:widowControl w:val="0"/>
        <w:numPr>
          <w:ilvl w:val="0"/>
          <w:numId w:val="1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committee shall normally conduct a ballot within two weeks of the close of nominations. The results of the election shall be reported in writing to the Secretary for announcement at the Ordinary General Meeting.</w:t>
      </w:r>
    </w:p>
    <w:p w:rsidR="00000000" w:rsidDel="00000000" w:rsidP="00000000" w:rsidRDefault="00000000" w:rsidRPr="00000000" w14:paraId="000000B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1">
      <w:pPr>
        <w:widowControl w:val="0"/>
        <w:numPr>
          <w:ilvl w:val="0"/>
          <w:numId w:val="1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Nominations and Elections Committee shall announce only the names of the successful candidates for APLA office at the OGM and not the number of votes cast for each candidate.</w:t>
      </w:r>
    </w:p>
    <w:p w:rsidR="00000000" w:rsidDel="00000000" w:rsidP="00000000" w:rsidRDefault="00000000" w:rsidRPr="00000000" w14:paraId="000000B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3">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p>
    <w:p w:rsidR="00000000" w:rsidDel="00000000" w:rsidP="00000000" w:rsidRDefault="00000000" w:rsidRPr="00000000" w14:paraId="000000B4">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5">
      <w:pPr>
        <w:widowControl w:val="0"/>
        <w:numPr>
          <w:ilvl w:val="0"/>
          <w:numId w:val="11"/>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Incumbent provincial Vice Presidents should be advised of all nominations for the position of Vice President in their provinces so that they are aware of developments in their respective provinces (Executive meeting, 6 October 1985).</w:t>
      </w:r>
    </w:p>
    <w:p w:rsidR="00000000" w:rsidDel="00000000" w:rsidP="00000000" w:rsidRDefault="00000000" w:rsidRPr="00000000" w14:paraId="000000B6">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7">
      <w:pPr>
        <w:widowControl w:val="0"/>
        <w:numPr>
          <w:ilvl w:val="0"/>
          <w:numId w:val="11"/>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Traditionally, out-going Executive members have served on the Nominations and Elections Committee unless they want to run for an office.</w:t>
      </w:r>
    </w:p>
    <w:p w:rsidR="00000000" w:rsidDel="00000000" w:rsidP="00000000" w:rsidRDefault="00000000" w:rsidRPr="00000000" w14:paraId="000000B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9">
      <w:pPr>
        <w:widowControl w:val="0"/>
        <w:numPr>
          <w:ilvl w:val="0"/>
          <w:numId w:val="11"/>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Biographical information on the nominees should be included with the ballots.</w:t>
      </w:r>
    </w:p>
    <w:p w:rsidR="00000000" w:rsidDel="00000000" w:rsidP="00000000" w:rsidRDefault="00000000" w:rsidRPr="00000000" w14:paraId="000000B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B">
      <w:pPr>
        <w:widowControl w:val="0"/>
        <w:numPr>
          <w:ilvl w:val="0"/>
          <w:numId w:val="11"/>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convener of the committee shall present a report to the Vice President/President- Elect at least one month prior to the Ordinary General Meeting (Standing Order 4.07).</w:t>
      </w:r>
    </w:p>
    <w:p w:rsidR="00000000" w:rsidDel="00000000" w:rsidP="00000000" w:rsidRDefault="00000000" w:rsidRPr="00000000" w14:paraId="000000BC">
      <w:pPr>
        <w:pStyle w:val="Heading2"/>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D">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bookmarkStart w:colFirst="0" w:colLast="0" w:name="_30j0zll" w:id="1"/>
      <w:bookmarkEnd w:id="1"/>
      <w:r w:rsidDel="00000000" w:rsidR="00000000" w:rsidRPr="00000000">
        <w:rPr>
          <w:rFonts w:ascii="Times New Roman" w:cs="Times New Roman" w:eastAsia="Times New Roman" w:hAnsi="Times New Roman"/>
          <w:b w:val="1"/>
          <w:color w:val="000000"/>
          <w:sz w:val="32"/>
          <w:szCs w:val="32"/>
          <w:rtl w:val="0"/>
        </w:rPr>
        <w:t xml:space="preserve">GROW A LIBRARY FUND COMMITTEE </w:t>
      </w:r>
    </w:p>
    <w:p w:rsidR="00000000" w:rsidDel="00000000" w:rsidP="00000000" w:rsidRDefault="00000000" w:rsidRPr="00000000" w14:paraId="000000B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F">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Standing Committee (Standing Order 6.05)</w:t>
      </w:r>
      <w:r w:rsidDel="00000000" w:rsidR="00000000" w:rsidRPr="00000000">
        <w:rPr>
          <w:rtl w:val="0"/>
        </w:rPr>
      </w:r>
    </w:p>
    <w:p w:rsidR="00000000" w:rsidDel="00000000" w:rsidP="00000000" w:rsidRDefault="00000000" w:rsidRPr="00000000" w14:paraId="000000C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1">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6.05):</w:t>
      </w:r>
    </w:p>
    <w:p w:rsidR="00000000" w:rsidDel="00000000" w:rsidP="00000000" w:rsidRDefault="00000000" w:rsidRPr="00000000" w14:paraId="000000C2">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3">
      <w:pPr>
        <w:widowControl w:val="0"/>
        <w:numPr>
          <w:ilvl w:val="0"/>
          <w:numId w:val="15"/>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fundraise through various events and activities for the fund</w:t>
      </w:r>
    </w:p>
    <w:p w:rsidR="00000000" w:rsidDel="00000000" w:rsidP="00000000" w:rsidRDefault="00000000" w:rsidRPr="00000000" w14:paraId="000000C4">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5">
      <w:pPr>
        <w:widowControl w:val="0"/>
        <w:numPr>
          <w:ilvl w:val="0"/>
          <w:numId w:val="15"/>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determine by majority what percentage of the funds are allocated each year</w:t>
      </w:r>
    </w:p>
    <w:p w:rsidR="00000000" w:rsidDel="00000000" w:rsidP="00000000" w:rsidRDefault="00000000" w:rsidRPr="00000000" w14:paraId="000000C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7">
      <w:pPr>
        <w:widowControl w:val="0"/>
        <w:numPr>
          <w:ilvl w:val="0"/>
          <w:numId w:val="15"/>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determine by majority what project(s) are selected to be funded each year</w:t>
      </w:r>
    </w:p>
    <w:p w:rsidR="00000000" w:rsidDel="00000000" w:rsidP="00000000" w:rsidRDefault="00000000" w:rsidRPr="00000000" w14:paraId="000000C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9">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(Standing Order 6.05):</w:t>
      </w:r>
    </w:p>
    <w:p w:rsidR="00000000" w:rsidDel="00000000" w:rsidP="00000000" w:rsidRDefault="00000000" w:rsidRPr="00000000" w14:paraId="000000C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B">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Committee shall include the APLA Past-President, Treasurer and up to 8 additional members.</w:t>
      </w:r>
    </w:p>
    <w:p w:rsidR="00000000" w:rsidDel="00000000" w:rsidP="00000000" w:rsidRDefault="00000000" w:rsidRPr="00000000" w14:paraId="000000CC">
      <w:pPr>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D">
      <w:pPr>
        <w:pStyle w:val="Heading2"/>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MERIT AWARD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revisions were accepted at the Executive meeting, 27 May 1999, item 9 and the Executive meeting of 17-18 April 2004, item 9).</w:t>
      </w:r>
    </w:p>
    <w:p w:rsidR="00000000" w:rsidDel="00000000" w:rsidP="00000000" w:rsidRDefault="00000000" w:rsidRPr="00000000" w14:paraId="000000CF">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w:t>
      </w:r>
      <w:r w:rsidDel="00000000" w:rsidR="00000000" w:rsidRPr="00000000">
        <w:rPr>
          <w:rFonts w:ascii="Times New Roman" w:cs="Times New Roman" w:eastAsia="Times New Roman" w:hAnsi="Times New Roman"/>
          <w:rtl w:val="0"/>
        </w:rPr>
        <w:t xml:space="preserve">Atlantic Provinces Library Association Merit Award</w:t>
      </w: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Terms of the Award (Standing Order 9.08):</w:t>
      </w:r>
    </w:p>
    <w:p w:rsidR="00000000" w:rsidDel="00000000" w:rsidP="00000000" w:rsidRDefault="00000000" w:rsidRPr="00000000" w14:paraId="000000D2">
      <w:pPr>
        <w:numPr>
          <w:ilvl w:val="0"/>
          <w:numId w:val="1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award honours an individual who has made an outstanding contribution to library service in the Atlantic Provinces.</w:t>
      </w:r>
    </w:p>
    <w:p w:rsidR="00000000" w:rsidDel="00000000" w:rsidP="00000000" w:rsidRDefault="00000000" w:rsidRPr="00000000" w14:paraId="000000D3">
      <w:pPr>
        <w:numPr>
          <w:ilvl w:val="0"/>
          <w:numId w:val="1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of the contributions that might be considered in selecting a person for this award are:</w:t>
      </w:r>
    </w:p>
    <w:p w:rsidR="00000000" w:rsidDel="00000000" w:rsidP="00000000" w:rsidRDefault="00000000" w:rsidRPr="00000000" w14:paraId="000000D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Leadership in library associations at the local, regional, and provincial levels;</w:t>
      </w:r>
    </w:p>
    <w:p w:rsidR="00000000" w:rsidDel="00000000" w:rsidP="00000000" w:rsidRDefault="00000000" w:rsidRPr="00000000" w14:paraId="000000D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Contributions to the development, application, and utilization of library services and library sytems;</w:t>
      </w:r>
    </w:p>
    <w:p w:rsidR="00000000" w:rsidDel="00000000" w:rsidP="00000000" w:rsidRDefault="00000000" w:rsidRPr="00000000" w14:paraId="000000D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Significant contribution to library literature.</w:t>
      </w:r>
    </w:p>
    <w:p w:rsidR="00000000" w:rsidDel="00000000" w:rsidP="00000000" w:rsidRDefault="00000000" w:rsidRPr="00000000" w14:paraId="000000D7">
      <w:pPr>
        <w:numPr>
          <w:ilvl w:val="0"/>
          <w:numId w:val="1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Normally, only one award shall be given each year.</w: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Form of the Award: </w:t>
      </w:r>
      <w:r w:rsidDel="00000000" w:rsidR="00000000" w:rsidRPr="00000000">
        <w:rPr>
          <w:rtl w:val="0"/>
        </w:rPr>
      </w:r>
    </w:p>
    <w:p w:rsidR="00000000" w:rsidDel="00000000" w:rsidP="00000000" w:rsidRDefault="00000000" w:rsidRPr="00000000" w14:paraId="000000D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00" w:lineRule="auto"/>
        <w:ind w:left="0" w:right="0" w:firstLine="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At the annual conference, the award winner will be presented with:</w:t>
      </w:r>
    </w:p>
    <w:p w:rsidR="00000000" w:rsidDel="00000000" w:rsidP="00000000" w:rsidRDefault="00000000" w:rsidRPr="00000000" w14:paraId="000000D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 Atlantic pewter goblet, handmade by a pewter smith and decorated with the Arms of the province in which the presentation takes place, and inscribed on one side with the name of the winner, the award and the date. The goblets (7 oz, shiny finish) are purchased from Aitken Pewter, Fredericton, NB, and are patterned on the design originally produced by Dr. Ian Drowell, Canada’s first pewterer.</w:t>
      </w:r>
    </w:p>
    <w:p w:rsidR="00000000" w:rsidDel="00000000" w:rsidP="00000000" w:rsidRDefault="00000000" w:rsidRPr="00000000" w14:paraId="000000D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certificate (blank certificates are held by the secretary)</w:t>
      </w:r>
    </w:p>
    <w:p w:rsidR="00000000" w:rsidDel="00000000" w:rsidP="00000000" w:rsidRDefault="00000000" w:rsidRPr="00000000" w14:paraId="000000D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Life membership in the Atlantic Provinces Library Association</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108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30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typescript of the presenter’s remarks shall be given to the recipient.</w:t>
      </w:r>
    </w:p>
    <w:p w:rsidR="00000000" w:rsidDel="00000000" w:rsidP="00000000" w:rsidRDefault="00000000" w:rsidRPr="00000000" w14:paraId="000000E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Procedures:</w:t>
      </w:r>
    </w:p>
    <w:p w:rsidR="00000000" w:rsidDel="00000000" w:rsidP="00000000" w:rsidRDefault="00000000" w:rsidRPr="00000000" w14:paraId="000000E3">
      <w:pPr>
        <w:numPr>
          <w:ilvl w:val="0"/>
          <w:numId w:val="1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Past-President shall be responsible for organizing the procedure for selecting an award winner and for presenting the award.</w:t>
      </w:r>
    </w:p>
    <w:p w:rsidR="00000000" w:rsidDel="00000000" w:rsidP="00000000" w:rsidRDefault="00000000" w:rsidRPr="00000000" w14:paraId="000000E4">
      <w:pPr>
        <w:numPr>
          <w:ilvl w:val="0"/>
          <w:numId w:val="1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Nominations for the award shall be solicited through an advertisement in the September/October issue of the APLA Bulletin.</w:t>
      </w:r>
    </w:p>
    <w:p w:rsidR="00000000" w:rsidDel="00000000" w:rsidP="00000000" w:rsidRDefault="00000000" w:rsidRPr="00000000" w14:paraId="000000E5">
      <w:pPr>
        <w:numPr>
          <w:ilvl w:val="0"/>
          <w:numId w:val="1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Names of persons previously nominated, but not chosen, may be resubmitted.</w:t>
      </w:r>
    </w:p>
    <w:p w:rsidR="00000000" w:rsidDel="00000000" w:rsidP="00000000" w:rsidRDefault="00000000" w:rsidRPr="00000000" w14:paraId="000000E6">
      <w:pPr>
        <w:numPr>
          <w:ilvl w:val="0"/>
          <w:numId w:val="1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deadline for nominations shall be March 31.</w:t>
      </w:r>
    </w:p>
    <w:p w:rsidR="00000000" w:rsidDel="00000000" w:rsidP="00000000" w:rsidRDefault="00000000" w:rsidRPr="00000000" w14:paraId="000000E7">
      <w:pPr>
        <w:numPr>
          <w:ilvl w:val="0"/>
          <w:numId w:val="1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recommendation for an award must be accompanied by documentation of the nominee’s achievements.</w:t>
      </w:r>
    </w:p>
    <w:p w:rsidR="00000000" w:rsidDel="00000000" w:rsidP="00000000" w:rsidRDefault="00000000" w:rsidRPr="00000000" w14:paraId="000000E8">
      <w:pPr>
        <w:numPr>
          <w:ilvl w:val="0"/>
          <w:numId w:val="1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will act as the jury to select an award winner from among those nominated by the members of the Association.</w:t>
      </w:r>
    </w:p>
    <w:p w:rsidR="00000000" w:rsidDel="00000000" w:rsidP="00000000" w:rsidRDefault="00000000" w:rsidRPr="00000000" w14:paraId="000000E9">
      <w:pPr>
        <w:numPr>
          <w:ilvl w:val="0"/>
          <w:numId w:val="1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award need not be made if, in the opinion of the Executive, no sufficiently outstanding nominee has been recommended.</w:t>
      </w:r>
    </w:p>
    <w:p w:rsidR="00000000" w:rsidDel="00000000" w:rsidP="00000000" w:rsidRDefault="00000000" w:rsidRPr="00000000" w14:paraId="000000EA">
      <w:pPr>
        <w:numPr>
          <w:ilvl w:val="0"/>
          <w:numId w:val="1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award shall be presented at the Association’s annual conference.</w:t>
      </w:r>
    </w:p>
    <w:p w:rsidR="00000000" w:rsidDel="00000000" w:rsidP="00000000" w:rsidRDefault="00000000" w:rsidRPr="00000000" w14:paraId="000000EB">
      <w:pPr>
        <w:numPr>
          <w:ilvl w:val="0"/>
          <w:numId w:val="1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transcript of the presentation remarks shall be published in the APLA Bulletin.</w:t>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bookmarkStart w:colFirst="0" w:colLast="0" w:name="_1fob9te" w:id="2"/>
      <w:bookmarkEnd w:id="2"/>
      <w:r w:rsidDel="00000000" w:rsidR="00000000" w:rsidRPr="00000000">
        <w:rPr>
          <w:rFonts w:ascii="Times New Roman" w:cs="Times New Roman" w:eastAsia="Times New Roman" w:hAnsi="Times New Roman"/>
          <w:b w:val="1"/>
          <w:color w:val="000000"/>
          <w:sz w:val="32"/>
          <w:szCs w:val="32"/>
          <w:rtl w:val="0"/>
        </w:rPr>
        <w:t xml:space="preserve">APPENDIX M: Guidelines for maintaining APLA records</w:t>
      </w:r>
    </w:p>
    <w:p w:rsidR="00000000" w:rsidDel="00000000" w:rsidP="00000000" w:rsidRDefault="00000000" w:rsidRPr="00000000" w14:paraId="000000E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(As approved at the Executive meeting, 14 April 2007)</w:t>
      </w:r>
    </w:p>
    <w:p w:rsidR="00000000" w:rsidDel="00000000" w:rsidP="00000000" w:rsidRDefault="00000000" w:rsidRPr="00000000" w14:paraId="000000E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Background:</w:t>
      </w:r>
    </w:p>
    <w:p w:rsidR="00000000" w:rsidDel="00000000" w:rsidP="00000000" w:rsidRDefault="00000000" w:rsidRPr="00000000" w14:paraId="000000F1">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archival records of APLA are deposited with the Acadia University (Standing Order 1.08, revised May 2006), It is important that these records be complete in order to provide an ongoing history of the Association and to provide the background to decisions which may be, or have been, made on behalf of the Association.</w:t>
      </w:r>
    </w:p>
    <w:p w:rsidR="00000000" w:rsidDel="00000000" w:rsidP="00000000" w:rsidRDefault="00000000" w:rsidRPr="00000000" w14:paraId="000000F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3">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examples are offered by the Executive and are not contained in the correspondence. They are not meant to be all inclusive.</w:t>
      </w:r>
    </w:p>
    <w:p w:rsidR="00000000" w:rsidDel="00000000" w:rsidP="00000000" w:rsidRDefault="00000000" w:rsidRPr="00000000" w14:paraId="000000F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5">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Includes:</w:t>
      </w:r>
      <w:r w:rsidDel="00000000" w:rsidR="00000000" w:rsidRPr="00000000">
        <w:rPr>
          <w:rtl w:val="0"/>
        </w:rPr>
      </w:r>
    </w:p>
    <w:p w:rsidR="00000000" w:rsidDel="00000000" w:rsidP="00000000" w:rsidRDefault="00000000" w:rsidRPr="00000000" w14:paraId="000000F6">
      <w:pPr>
        <w:widowControl w:val="0"/>
        <w:numPr>
          <w:ilvl w:val="0"/>
          <w:numId w:val="16"/>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record material (esp. vital records), such as annual reports - those of the Executive, committees and interest groups as printed in the preconference issue of the APLA Bulletin. It will not be necessary to submit a separate report unless one did not appear in this issue of the APLA Bulletin.</w:t>
      </w:r>
    </w:p>
    <w:p w:rsidR="00000000" w:rsidDel="00000000" w:rsidP="00000000" w:rsidRDefault="00000000" w:rsidRPr="00000000" w14:paraId="000000F7">
      <w:pPr>
        <w:widowControl w:val="0"/>
        <w:numPr>
          <w:ilvl w:val="0"/>
          <w:numId w:val="16"/>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by-laws - this should be interpreted as meaning the standing orders;</w:t>
      </w:r>
    </w:p>
    <w:p w:rsidR="00000000" w:rsidDel="00000000" w:rsidP="00000000" w:rsidRDefault="00000000" w:rsidRPr="00000000" w14:paraId="000000F8">
      <w:pPr>
        <w:widowControl w:val="0"/>
        <w:numPr>
          <w:ilvl w:val="0"/>
          <w:numId w:val="16"/>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briefs, reports, responses, submissions - for example submissions which are from time to time made to the Canadian Library Association or to provincial ministers. Where it is deemed necessary, the appropriate background information which was used to write the report, etc. shall also be submitted;</w:t>
      </w:r>
    </w:p>
    <w:p w:rsidR="00000000" w:rsidDel="00000000" w:rsidP="00000000" w:rsidRDefault="00000000" w:rsidRPr="00000000" w14:paraId="000000F9">
      <w:pPr>
        <w:widowControl w:val="0"/>
        <w:numPr>
          <w:ilvl w:val="0"/>
          <w:numId w:val="16"/>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certificate of incorporation or charter - this should be interpreted as meaning the "Memorandum of Association";</w:t>
      </w:r>
    </w:p>
    <w:p w:rsidR="00000000" w:rsidDel="00000000" w:rsidP="00000000" w:rsidRDefault="00000000" w:rsidRPr="00000000" w14:paraId="000000FA">
      <w:pPr>
        <w:widowControl w:val="0"/>
        <w:numPr>
          <w:ilvl w:val="0"/>
          <w:numId w:val="16"/>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collective agreements, contracts;</w:t>
      </w:r>
    </w:p>
    <w:p w:rsidR="00000000" w:rsidDel="00000000" w:rsidP="00000000" w:rsidRDefault="00000000" w:rsidRPr="00000000" w14:paraId="000000FB">
      <w:pPr>
        <w:widowControl w:val="0"/>
        <w:numPr>
          <w:ilvl w:val="0"/>
          <w:numId w:val="16"/>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constitution - this should be interpreted as meaning the Articles of Association;</w:t>
      </w:r>
    </w:p>
    <w:p w:rsidR="00000000" w:rsidDel="00000000" w:rsidP="00000000" w:rsidRDefault="00000000" w:rsidRPr="00000000" w14:paraId="000000FC">
      <w:pPr>
        <w:widowControl w:val="0"/>
        <w:numPr>
          <w:ilvl w:val="0"/>
          <w:numId w:val="16"/>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correspondence - correspondence submitted should be of permanent interest to the Association because it contributes to an understanding of the history or role of the Association;</w:t>
      </w:r>
    </w:p>
    <w:p w:rsidR="00000000" w:rsidDel="00000000" w:rsidP="00000000" w:rsidRDefault="00000000" w:rsidRPr="00000000" w14:paraId="000000FD">
      <w:pPr>
        <w:widowControl w:val="0"/>
        <w:numPr>
          <w:ilvl w:val="0"/>
          <w:numId w:val="16"/>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financial statements - the annual budget, the audited treasure's report, and the financial examiner's report, as approved at the OGM, should be submitted. As well, financial statements of the annual conference and those received by the Finance Committee relating to the expenditure of General Activities Funds should be submitted;</w:t>
      </w:r>
    </w:p>
    <w:p w:rsidR="00000000" w:rsidDel="00000000" w:rsidP="00000000" w:rsidRDefault="00000000" w:rsidRPr="00000000" w14:paraId="000000FE">
      <w:pPr>
        <w:widowControl w:val="0"/>
        <w:numPr>
          <w:ilvl w:val="0"/>
          <w:numId w:val="16"/>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indentures;</w:t>
      </w:r>
    </w:p>
    <w:p w:rsidR="00000000" w:rsidDel="00000000" w:rsidP="00000000" w:rsidRDefault="00000000" w:rsidRPr="00000000" w14:paraId="000000FF">
      <w:pPr>
        <w:widowControl w:val="0"/>
        <w:numPr>
          <w:ilvl w:val="0"/>
          <w:numId w:val="16"/>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internal publications (newsletters, etc.) - the APLA Bulletin and any newsletters of the committees or interest groups should be submitted;</w:t>
      </w:r>
    </w:p>
    <w:p w:rsidR="00000000" w:rsidDel="00000000" w:rsidP="00000000" w:rsidRDefault="00000000" w:rsidRPr="00000000" w14:paraId="00000100">
      <w:pPr>
        <w:widowControl w:val="0"/>
        <w:numPr>
          <w:ilvl w:val="0"/>
          <w:numId w:val="16"/>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membership lists - the Membership Directory should be submitted. The membership list as maintained by the treasurer should not be submitted;</w:t>
      </w:r>
    </w:p>
    <w:p w:rsidR="00000000" w:rsidDel="00000000" w:rsidP="00000000" w:rsidRDefault="00000000" w:rsidRPr="00000000" w14:paraId="00000101">
      <w:pPr>
        <w:widowControl w:val="0"/>
        <w:numPr>
          <w:ilvl w:val="0"/>
          <w:numId w:val="16"/>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memoranda - memoranda submitted should be of permanent interest to the Association because it contributes to an understanding of the history or role of the Association;</w:t>
      </w:r>
    </w:p>
    <w:p w:rsidR="00000000" w:rsidDel="00000000" w:rsidP="00000000" w:rsidRDefault="00000000" w:rsidRPr="00000000" w14:paraId="00000102">
      <w:pPr>
        <w:widowControl w:val="0"/>
        <w:numPr>
          <w:ilvl w:val="0"/>
          <w:numId w:val="16"/>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minutes of meetings - minutes of all Executive, committee and interest group meetings should be submitted. Minutes of the OGM and any special meeting should be considered to have been submitted if they have appeared in the APLA Bulletin;</w:t>
      </w:r>
    </w:p>
    <w:p w:rsidR="00000000" w:rsidDel="00000000" w:rsidP="00000000" w:rsidRDefault="00000000" w:rsidRPr="00000000" w14:paraId="00000103">
      <w:pPr>
        <w:widowControl w:val="0"/>
        <w:numPr>
          <w:ilvl w:val="0"/>
          <w:numId w:val="16"/>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proceedings of conferences;</w:t>
      </w:r>
    </w:p>
    <w:p w:rsidR="00000000" w:rsidDel="00000000" w:rsidP="00000000" w:rsidRDefault="00000000" w:rsidRPr="00000000" w14:paraId="00000104">
      <w:pPr>
        <w:widowControl w:val="0"/>
        <w:numPr>
          <w:ilvl w:val="0"/>
          <w:numId w:val="16"/>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rules and regulations - this should be interpreted as meaning the Procedures Manual.</w:t>
      </w:r>
    </w:p>
    <w:p w:rsidR="00000000" w:rsidDel="00000000" w:rsidP="00000000" w:rsidRDefault="00000000" w:rsidRPr="00000000" w14:paraId="0000010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6">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Excludes:</w:t>
      </w:r>
      <w:r w:rsidDel="00000000" w:rsidR="00000000" w:rsidRPr="00000000">
        <w:rPr>
          <w:rtl w:val="0"/>
        </w:rPr>
      </w:r>
    </w:p>
    <w:p w:rsidR="00000000" w:rsidDel="00000000" w:rsidP="00000000" w:rsidRDefault="00000000" w:rsidRPr="00000000" w14:paraId="00000107">
      <w:pPr>
        <w:widowControl w:val="0"/>
        <w:numPr>
          <w:ilvl w:val="0"/>
          <w:numId w:val="17"/>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artifacts;</w:t>
      </w:r>
    </w:p>
    <w:p w:rsidR="00000000" w:rsidDel="00000000" w:rsidP="00000000" w:rsidRDefault="00000000" w:rsidRPr="00000000" w14:paraId="00000108">
      <w:pPr>
        <w:widowControl w:val="0"/>
        <w:numPr>
          <w:ilvl w:val="0"/>
          <w:numId w:val="17"/>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case files/personnel records;</w:t>
      </w:r>
    </w:p>
    <w:p w:rsidR="00000000" w:rsidDel="00000000" w:rsidP="00000000" w:rsidRDefault="00000000" w:rsidRPr="00000000" w14:paraId="00000109">
      <w:pPr>
        <w:widowControl w:val="0"/>
        <w:numPr>
          <w:ilvl w:val="0"/>
          <w:numId w:val="17"/>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"housekeeping" records - for example, invoices, receipts and bank statements;</w:t>
      </w:r>
    </w:p>
    <w:p w:rsidR="00000000" w:rsidDel="00000000" w:rsidP="00000000" w:rsidRDefault="00000000" w:rsidRPr="00000000" w14:paraId="0000010A">
      <w:pPr>
        <w:widowControl w:val="0"/>
        <w:numPr>
          <w:ilvl w:val="0"/>
          <w:numId w:val="17"/>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non-record material/ephemera;</w:t>
      </w:r>
    </w:p>
    <w:p w:rsidR="00000000" w:rsidDel="00000000" w:rsidP="00000000" w:rsidRDefault="00000000" w:rsidRPr="00000000" w14:paraId="0000010B">
      <w:pPr>
        <w:widowControl w:val="0"/>
        <w:numPr>
          <w:ilvl w:val="0"/>
          <w:numId w:val="17"/>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non-paper records/non-textual media (subject to exceptions).</w:t>
      </w:r>
    </w:p>
    <w:p w:rsidR="00000000" w:rsidDel="00000000" w:rsidP="00000000" w:rsidRDefault="00000000" w:rsidRPr="00000000" w14:paraId="0000010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D">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Procedure:</w:t>
      </w:r>
    </w:p>
    <w:p w:rsidR="00000000" w:rsidDel="00000000" w:rsidP="00000000" w:rsidRDefault="00000000" w:rsidRPr="00000000" w14:paraId="0000010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secretary will maintain a yearly archives file. This file will normally include, but is not restricted to:</w:t>
      </w:r>
    </w:p>
    <w:p w:rsidR="00000000" w:rsidDel="00000000" w:rsidP="00000000" w:rsidRDefault="00000000" w:rsidRPr="00000000" w14:paraId="0000010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0">
      <w:pPr>
        <w:widowControl w:val="0"/>
        <w:numPr>
          <w:ilvl w:val="0"/>
          <w:numId w:val="18"/>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Minutes to the Executive Meetings</w:t>
      </w:r>
    </w:p>
    <w:p w:rsidR="00000000" w:rsidDel="00000000" w:rsidP="00000000" w:rsidRDefault="00000000" w:rsidRPr="00000000" w14:paraId="00000111">
      <w:pPr>
        <w:widowControl w:val="0"/>
        <w:numPr>
          <w:ilvl w:val="0"/>
          <w:numId w:val="18"/>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Membership Reports</w:t>
      </w:r>
    </w:p>
    <w:p w:rsidR="00000000" w:rsidDel="00000000" w:rsidP="00000000" w:rsidRDefault="00000000" w:rsidRPr="00000000" w14:paraId="00000112">
      <w:pPr>
        <w:widowControl w:val="0"/>
        <w:numPr>
          <w:ilvl w:val="0"/>
          <w:numId w:val="18"/>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Reports from all committees (Standing, Executive and Ad hoc)</w:t>
      </w:r>
    </w:p>
    <w:p w:rsidR="00000000" w:rsidDel="00000000" w:rsidP="00000000" w:rsidRDefault="00000000" w:rsidRPr="00000000" w14:paraId="00000113">
      <w:pPr>
        <w:widowControl w:val="0"/>
        <w:numPr>
          <w:ilvl w:val="0"/>
          <w:numId w:val="18"/>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(incl. Finance committee, Aims and Objectives, Nominations and Elections, Memorial Awards etc.)</w:t>
      </w:r>
    </w:p>
    <w:p w:rsidR="00000000" w:rsidDel="00000000" w:rsidP="00000000" w:rsidRDefault="00000000" w:rsidRPr="00000000" w14:paraId="00000114">
      <w:pPr>
        <w:widowControl w:val="0"/>
        <w:numPr>
          <w:ilvl w:val="0"/>
          <w:numId w:val="18"/>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Treasurer’s reports, budgets, annual statements</w:t>
      </w:r>
    </w:p>
    <w:p w:rsidR="00000000" w:rsidDel="00000000" w:rsidP="00000000" w:rsidRDefault="00000000" w:rsidRPr="00000000" w14:paraId="00000115">
      <w:pPr>
        <w:widowControl w:val="0"/>
        <w:numPr>
          <w:ilvl w:val="0"/>
          <w:numId w:val="18"/>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Reports from all interest groups Bulletin Management </w:t>
      </w:r>
      <w:r w:rsidDel="00000000" w:rsidR="00000000" w:rsidRPr="00000000">
        <w:rPr>
          <w:rFonts w:ascii="Times New Roman" w:cs="Times New Roman" w:eastAsia="Times New Roman" w:hAnsi="Times New Roman"/>
          <w:sz w:val="22"/>
          <w:szCs w:val="22"/>
          <w:rtl w:val="0"/>
        </w:rPr>
        <w:t xml:space="preserve">Committee </w:t>
      </w:r>
      <w:r w:rsidDel="00000000" w:rsidR="00000000" w:rsidRPr="00000000">
        <w:rPr>
          <w:rFonts w:ascii="Times New Roman" w:cs="Times New Roman" w:eastAsia="Times New Roman" w:hAnsi="Times New Roman"/>
          <w:color w:val="000000"/>
          <w:sz w:val="22"/>
          <w:szCs w:val="22"/>
          <w:rtl w:val="0"/>
        </w:rPr>
        <w:t xml:space="preserve">Reports Past President’s report</w:t>
      </w:r>
    </w:p>
    <w:p w:rsidR="00000000" w:rsidDel="00000000" w:rsidP="00000000" w:rsidRDefault="00000000" w:rsidRPr="00000000" w14:paraId="00000116">
      <w:pPr>
        <w:widowControl w:val="0"/>
        <w:numPr>
          <w:ilvl w:val="0"/>
          <w:numId w:val="18"/>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Conference report</w:t>
      </w:r>
    </w:p>
    <w:p w:rsidR="00000000" w:rsidDel="00000000" w:rsidP="00000000" w:rsidRDefault="00000000" w:rsidRPr="00000000" w14:paraId="00000117">
      <w:pPr>
        <w:widowControl w:val="0"/>
        <w:numPr>
          <w:ilvl w:val="0"/>
          <w:numId w:val="18"/>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OGM Minutes</w:t>
      </w:r>
    </w:p>
    <w:p w:rsidR="00000000" w:rsidDel="00000000" w:rsidP="00000000" w:rsidRDefault="00000000" w:rsidRPr="00000000" w14:paraId="00000118">
      <w:pPr>
        <w:widowControl w:val="0"/>
        <w:numPr>
          <w:ilvl w:val="0"/>
          <w:numId w:val="18"/>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Notes or Minutes from Special Meetings Special reports, briefs or projects President’s official correspondence</w:t>
      </w:r>
    </w:p>
    <w:p w:rsidR="00000000" w:rsidDel="00000000" w:rsidP="00000000" w:rsidRDefault="00000000" w:rsidRPr="00000000" w14:paraId="00000119">
      <w:pPr>
        <w:widowControl w:val="0"/>
        <w:numPr>
          <w:ilvl w:val="0"/>
          <w:numId w:val="18"/>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Official correspondence from other members of the Executive</w:t>
      </w:r>
    </w:p>
    <w:p w:rsidR="00000000" w:rsidDel="00000000" w:rsidP="00000000" w:rsidRDefault="00000000" w:rsidRPr="00000000" w14:paraId="0000011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B">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Secretary will ensure that these records are submitted to the Acadia University Archives each year within a period of two weeks after the OGM/Annual Conference. Only the secretary’s archives file will be accepted into the archives.</w:t>
      </w:r>
    </w:p>
    <w:p w:rsidR="00000000" w:rsidDel="00000000" w:rsidP="00000000" w:rsidRDefault="00000000" w:rsidRPr="00000000" w14:paraId="0000011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D">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secretary will endeavour to provide the original signed document and only use photocopies when necessary. The secretary will also ensure that all reports are dated.</w:t>
      </w:r>
    </w:p>
    <w:p w:rsidR="00000000" w:rsidDel="00000000" w:rsidP="00000000" w:rsidRDefault="00000000" w:rsidRPr="00000000" w14:paraId="0000011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F">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Past-President will maintain the Procedures Manual, Articles of Association, "Memorandum of Association," and "Standing Orders" and then provide it to the secretary for the archives file.</w:t>
      </w:r>
    </w:p>
    <w:p w:rsidR="00000000" w:rsidDel="00000000" w:rsidP="00000000" w:rsidRDefault="00000000" w:rsidRPr="00000000" w14:paraId="0000012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1">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Editor of the APLA Bulletin will ensure that copies of the Bulletin and other support documents be provided to the secretary for the archives file before it is submitted to the archives at the end of May.</w:t>
      </w:r>
    </w:p>
    <w:p w:rsidR="00000000" w:rsidDel="00000000" w:rsidP="00000000" w:rsidRDefault="00000000" w:rsidRPr="00000000" w14:paraId="0000012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Please note that all bank statements, T4s, receipts and invoices should be kept for seven years (legal requirements) with the Treasurer and only official documents such as budgets, reports, statements be submitted to the archives.</w:t>
      </w:r>
      <w:r w:rsidDel="00000000" w:rsidR="00000000" w:rsidRPr="00000000">
        <w:rPr>
          <w:rtl w:val="0"/>
        </w:rPr>
      </w:r>
    </w:p>
    <w:sectPr>
      <w:headerReference r:id="rId7" w:type="default"/>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tabs>
        <w:tab w:val="center" w:pos="4680"/>
        <w:tab w:val="right" w:pos="9360"/>
      </w:tabs>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tabs>
        <w:tab w:val="center" w:pos="4680"/>
        <w:tab w:val="right" w:pos="936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 Updated 2017</w:t>
    </w:r>
  </w:p>
  <w:p w:rsidR="00000000" w:rsidDel="00000000" w:rsidP="00000000" w:rsidRDefault="00000000" w:rsidRPr="00000000" w14:paraId="00000127">
    <w:pPr>
      <w:tabs>
        <w:tab w:val="center" w:pos="4680"/>
        <w:tab w:val="right" w:pos="936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Suzanne van den Hoogen</w:t>
    </w:r>
  </w:p>
  <w:p w:rsidR="00000000" w:rsidDel="00000000" w:rsidP="00000000" w:rsidRDefault="00000000" w:rsidRPr="00000000" w14:paraId="00000128">
    <w:pPr>
      <w:tabs>
        <w:tab w:val="center" w:pos="4680"/>
        <w:tab w:val="right" w:pos="9360"/>
      </w:tabs>
      <w:spacing w:after="72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tabs>
        <w:tab w:val="center" w:pos="4680"/>
        <w:tab w:val="right" w:pos="9360"/>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0" w:firstLine="360"/>
      </w:pPr>
      <w:rPr/>
    </w:lvl>
    <w:lvl w:ilvl="1">
      <w:start w:val="1"/>
      <w:numFmt w:val="lowerLetter"/>
      <w:lvlText w:val="%2."/>
      <w:lvlJc w:val="left"/>
      <w:pPr>
        <w:ind w:left="720" w:firstLine="0"/>
      </w:pPr>
      <w:rPr/>
    </w:lvl>
    <w:lvl w:ilvl="2">
      <w:start w:val="1"/>
      <w:numFmt w:val="lowerRoman"/>
      <w:lvlText w:val="%3."/>
      <w:lvlJc w:val="right"/>
      <w:pPr>
        <w:ind w:left="1440" w:firstLine="1980"/>
      </w:pPr>
      <w:rPr/>
    </w:lvl>
    <w:lvl w:ilvl="3">
      <w:start w:val="1"/>
      <w:numFmt w:val="decimal"/>
      <w:lvlText w:val="%4."/>
      <w:lvlJc w:val="left"/>
      <w:pPr>
        <w:ind w:left="2160" w:firstLine="2520"/>
      </w:pPr>
      <w:rPr/>
    </w:lvl>
    <w:lvl w:ilvl="4">
      <w:start w:val="1"/>
      <w:numFmt w:val="lowerLetter"/>
      <w:lvlText w:val="%5."/>
      <w:lvlJc w:val="left"/>
      <w:pPr>
        <w:ind w:left="2880" w:firstLine="3240"/>
      </w:pPr>
      <w:rPr/>
    </w:lvl>
    <w:lvl w:ilvl="5">
      <w:start w:val="1"/>
      <w:numFmt w:val="lowerRoman"/>
      <w:lvlText w:val="%6."/>
      <w:lvlJc w:val="right"/>
      <w:pPr>
        <w:ind w:left="3600" w:firstLine="4140"/>
      </w:pPr>
      <w:rPr/>
    </w:lvl>
    <w:lvl w:ilvl="6">
      <w:start w:val="1"/>
      <w:numFmt w:val="decimal"/>
      <w:lvlText w:val="%7."/>
      <w:lvlJc w:val="left"/>
      <w:pPr>
        <w:ind w:left="4320" w:firstLine="4680"/>
      </w:pPr>
      <w:rPr/>
    </w:lvl>
    <w:lvl w:ilvl="7">
      <w:start w:val="1"/>
      <w:numFmt w:val="lowerLetter"/>
      <w:lvlText w:val="%8."/>
      <w:lvlJc w:val="left"/>
      <w:pPr>
        <w:ind w:left="5040" w:firstLine="5400"/>
      </w:pPr>
      <w:rPr/>
    </w:lvl>
    <w:lvl w:ilvl="8">
      <w:start w:val="1"/>
      <w:numFmt w:val="lowerRoman"/>
      <w:lvlText w:val="%9."/>
      <w:lvlJc w:val="right"/>
      <w:pPr>
        <w:ind w:left="5760" w:firstLine="630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firstLine="360"/>
      </w:pPr>
      <w:rPr/>
    </w:lvl>
    <w:lvl w:ilvl="1">
      <w:start w:val="1"/>
      <w:numFmt w:val="lowerLetter"/>
      <w:lvlText w:val="%2."/>
      <w:lvlJc w:val="left"/>
      <w:pPr>
        <w:ind w:left="1440" w:firstLine="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4">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color w:val="2e75b5"/>
      <w:sz w:val="40"/>
      <w:szCs w:val="40"/>
    </w:rPr>
  </w:style>
  <w:style w:type="paragraph" w:styleId="Heading2">
    <w:name w:val="heading 2"/>
    <w:basedOn w:val="Normal"/>
    <w:next w:val="Normal"/>
    <w:pPr>
      <w:keepNext w:val="1"/>
      <w:keepLines w:val="1"/>
      <w:spacing w:after="40" w:before="160" w:line="240" w:lineRule="auto"/>
      <w:jc w:val="center"/>
    </w:pPr>
    <w:rPr>
      <w:sz w:val="32"/>
      <w:szCs w:val="32"/>
    </w:rPr>
  </w:style>
  <w:style w:type="paragraph" w:styleId="Heading3">
    <w:name w:val="heading 3"/>
    <w:basedOn w:val="Normal"/>
    <w:next w:val="Normal"/>
    <w:pPr>
      <w:keepNext w:val="1"/>
      <w:keepLines w:val="1"/>
      <w:spacing w:after="0" w:before="160" w:line="240" w:lineRule="auto"/>
    </w:pPr>
    <w:rPr>
      <w:sz w:val="32"/>
      <w:szCs w:val="32"/>
    </w:rPr>
  </w:style>
  <w:style w:type="paragraph" w:styleId="Heading4">
    <w:name w:val="heading 4"/>
    <w:basedOn w:val="Normal"/>
    <w:next w:val="Normal"/>
    <w:pPr>
      <w:keepNext w:val="1"/>
      <w:keepLines w:val="1"/>
      <w:spacing w:after="0" w:before="80" w:lineRule="auto"/>
    </w:pPr>
    <w:rPr>
      <w:i w:val="1"/>
      <w:sz w:val="30"/>
      <w:szCs w:val="30"/>
    </w:rPr>
  </w:style>
  <w:style w:type="paragraph" w:styleId="Heading5">
    <w:name w:val="heading 5"/>
    <w:basedOn w:val="Normal"/>
    <w:next w:val="Normal"/>
    <w:pPr>
      <w:keepNext w:val="1"/>
      <w:keepLines w:val="1"/>
      <w:spacing w:after="0" w:before="40" w:lineRule="auto"/>
    </w:pPr>
    <w:rPr>
      <w:sz w:val="28"/>
      <w:szCs w:val="28"/>
    </w:rPr>
  </w:style>
  <w:style w:type="paragraph" w:styleId="Heading6">
    <w:name w:val="heading 6"/>
    <w:basedOn w:val="Normal"/>
    <w:next w:val="Normal"/>
    <w:pPr>
      <w:keepNext w:val="1"/>
      <w:keepLines w:val="1"/>
      <w:spacing w:after="0" w:before="40" w:lineRule="auto"/>
    </w:pPr>
    <w:rPr>
      <w:i w:val="1"/>
      <w:sz w:val="26"/>
      <w:szCs w:val="26"/>
    </w:rPr>
  </w:style>
  <w:style w:type="paragraph" w:styleId="Title">
    <w:name w:val="Title"/>
    <w:basedOn w:val="Normal"/>
    <w:next w:val="Normal"/>
    <w:pPr>
      <w:keepNext w:val="1"/>
      <w:keepLines w:val="1"/>
      <w:spacing w:after="400" w:line="240" w:lineRule="auto"/>
      <w:jc w:val="center"/>
    </w:pPr>
    <w:rPr>
      <w:smallCaps w:val="1"/>
      <w:sz w:val="72"/>
      <w:szCs w:val="72"/>
    </w:rPr>
  </w:style>
  <w:style w:type="paragraph" w:styleId="Subtitle">
    <w:name w:val="Subtitle"/>
    <w:basedOn w:val="Normal"/>
    <w:next w:val="Normal"/>
    <w:pPr>
      <w:keepNext w:val="1"/>
      <w:keepLines w:val="1"/>
      <w:jc w:val="center"/>
    </w:pPr>
    <w:rPr>
      <w:i w:val="1"/>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